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Шарапова Владимира Аркадьевича на нарушение его конституционных прав статьями 3907 и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В.А.Шарапова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В.А.Шарапов,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этого суда было отказано, оспаривает конституционность статей 3907 «Рассмотрение кассационных жалобы, представления» 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По мнению заявителя, оспариваемые законоположения не соответствуют Конституции Российской Федерации, в том числе ее статьям 18, 19, 45 и 46, 2 поскольку они позволяют судье Верховного Суда Российской Федерации по своему собственному усмотрению единолично принимать немотивированное определение об отказе в передаче кассационной жалобы для рассмотрения в судебном заседании Судебной коллегии Верховного Суда Российской Федерации и тем самым создают препятствие для реализации его конституционных прав. Кроме того, В.А.Шарапов просит Конституционный Суд Российской Федерации признать указанное определение судьи Верховного Суда Российской Федерации неконституционным.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Шарапова Владимира Аркадьевича,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