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отдельных положений Федерального конституционного закона от 21 июля 1994 года № 1-ФКЗ «О Конституционном Суде Российской Федерации», Кодекса административного судопроизводства Российской Федерации, Гражданского процессуального кодекса Российской Федерации, Уголовно-исполнительного кодекса Российской Федерации и Уголовно-процессуального кодекса Российской Федерации. Кроме того, заявитель просит признать неконституционными положения некоторых постановлений Пленума Верховного Суда Российской Федерации. 2 Как утверждает Э.А.Гусейнов, оспариваемые положения, будучи примененными судами в конкретных делах с его участием,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