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О. на нарушение его конституционных прав статьями 1, 10, 108, 208, 4015, 435, 437 и 439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Украины О.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от 15 июня 2022 года О. был помещен в психиатрический стационар. Апелляционным постановлением это решение отменено, материалы направлены на новое рассмотрение. 8 августа 2022 года ходатайство следователя о помещении О. в психиатрический стационар оставлено судом без рассмотрения ввиду его отзыва, поскольку уголовное дело о применении мер медицинского характера в отношении О. поступило в суд для рассмотрения по существу. 12 декабря 2024 года судья Верховного Суда Российской Федерации возвратил без рассмотрения кассационную жалобу заявителя на постановление суда от 8 августа 2022 года ввиду того, что указанным постановлением решение о его помещении в психиатрический стационар не принималось. 2 В этой связи заявитель просит проверить конституционность статей 1 «Законы, определяющие порядок уголовного судопроизводства», 10 «Неприкосновенность личности», 108 «Заключение под стражу», 208 «Основания, порядок и сроки приостановления предварительного следствия», 435 «Временное помещение в медицинскую организацию, оказывающую психиатрическую помощь в стационарных условиях», 437 «Участие лица, в отношении которого ведется производство о применении принудительной меры медицинского характера, и его законного представителя» и 439 «Окончание предварительного следствия» УПК Российской Федерации, а также применение статьи 4015 «Возвращение кассационных жалобы, представления без рассмотрения» данного Кодекса в его деле. Как утверждает заявитель, оспариваемые им нормы позволили поместить его в психиатрический стационар и производить с ним следственные действия, пользуясь его беспомощным состоянием, продлить срок предварительного следствия с нарушением требований статьи 208 данного Кодекса, а также вынести ряд заведомо неправосудных судебных решений, в том числе о возвращении его жалобы без рассмотрения, что противоречит статьям 15, 19, 22, 46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возвращение кассационной жалобы без рассмотрения – учитывая, что в статье 4015 УПК Российской Федерации установлен исчерпывающий перечень оснований для такого процессуального действия, – не препятствует повторной подаче жалобы после устранения недостатков и не лишает заинтересованное лицо права на рассмотрение его жалобы в суде кассационной инстанции по существу в установленном порядке, притом что при возврате обращения без рассмотрения какое-либо новое решение, по- иному определяющее права и обязанности сторон, не выносится 3 (определения Конституционного Суда Российской Федерации от 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О.,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