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Ухова Валерия Владиславовича на нарушение его конституционных прав статьями 196, 199 и пунктом 2 статьи 206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гражданина С. и оставленным без изменения постановлением суда кассационной инстанции, было отменено определение суда первой инстанции и отказано в удовлетворении заявления гражданина В.В.Ухова о включении требования в реестр требований кредиторов должника. При этом суд апелляционной инстанции исходил, в частности, из пропуска заявителем срока исковой давности в отношении неисполненных заемных обязательств должника, также указав на отсутствие доказательств, подтверждающих обоснованность заявленных требований. 2 В.В.Ухов оспаривает конституционность статей 196 «Общий срок исковой давности», 199 «Применение исковой давности» и пункта 2 статьи 206 «Исполнение обязанности по истечении срока исковой давности» ГК Российской Федерации. По мнению заявителя, данные законоположения противоречат статьям 19, 35 и 46 Конституции Российской Федерации, поскольку, допуская произвольное применение, создают избыточные и дискриминационные условия доказывания требований кредитора в деле о банкротстве, позволяют игнорировать устное признание долга должником в судебном заседании и не обеспечивать непрерывности судебной защиты, что лишает заявителя права на восстановление нарушенных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Ухова Валерия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