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Дороховой Натальи Дмитриевны на нарушение ее конституционных прав частью первой и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Н.Д.Дороховой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Н.Д.Дорохова, которой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этого суда было отказано, оспаривает конституционность части первой и пункта 1 части второй статьи 3907 «Рассмотрение кассационных жалобы, представления» ГПК Российской Федерации. В связи с этим заявительница просит признать оспариваемые законоположения противоречащими статьям 11 (часть 1), 46, 47, 118 и 126 Конституции Российской Федерации, поскольку они позволяют судье 2 Верховного Суда Российской Федерации единолично отказывать в передаче кассационной жалобы для рассмотрения в судебном заседании Судебной коллегии по гражданским делам этого суда. Кроме того, Н.Д.Дорохова просит содействия Конституционного Суда Российской Федерации в объединении гражданских дел с ее участием в одно производство для совместного их рассмотрения и разрешения.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Дороховой Натальи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