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1255-О/2025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Мешкова Ивана Васильевича на нарушение его конституционных прав частью первой статьи 95 Уголовно-исполнительного кодекса Российской Федерации и пунктом 31 приложения № 3 к Правилам внутреннего распорядка исправительных учреждений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И.В.Мешкова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И.В.Мешков, отбывающий наказание в виде лишения свободы, просит признать не соответствующими статьям 2, 7 (часть 1), 18, 19, 21, 28, 35 и 44 (часть 2) Конституции Российской Федерации часть первую статьи 95 «Приобретение и хранение осужденными к лишению свободы литературы и письменных принадлежностей» УИК Российской Федерации и пункт 31 приложения № 3 к Правилам внутреннего распорядка исправительных учреждений (утверждены приказом Минюста России от 4 июля 2022 года № 110). По мнению заявителя, данные положения не позволяют осужденным получать в бандеролях с письменными принадлежностями незапрещенные 2 Уголовно-исполнительным кодексом Российской Федерации и Правилами внутреннего распорядка исправительных учреждений вещи и предметы, продукты питания. Кроме того,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Мешкова Ивана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