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Зотовой Натальи Витальевны на нарушение ее конституционных прав частью 1 статьи 178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Н.В.Зотовой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Н.В.Зотова оспаривает конституционность части 1 статьи 178 КАС Российской Федерации, согласно которой суд принимает решение по заявленным административным истцом требованиям; суд может выйти за пределы заявленных требований (предмета административного искового заявления или приведенных административным истцом оснований и доводов) в случаях, предусмотренных данным Кодексом. Как следует из представленных материалов, решением суда общей юрисдикции, с которым согласились вышестоящие суды, отказано в удовлетворении требований заявительницы об оспаривании решения и действий (бездействия) Федеральной службы по надзору в сфере здравоохранения. 2 По мнению заявительницы, оспариваемые законоположения противоречат статьям 46 (части 1 и 2) и 123 (часть 3) Конституции Российской Федерации, поскольку позволяют суду произвольно изменять предмет и основания административного искового заявления при принятии решения по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Учитывая специфику административных дел, Кодекс административного судопроизводства Российской Федерации в качестве одного из основных положений предусматривает принцип состязательности и равноправия сторон административного судопроизводства при активной роли суда, которая, в числе прочего, заключается в том, что суд, сохраняя независимость, объективность и беспристрастность, оказывает содействие сторонам процесса в реализации их прав, создает условия и принимает предусмотренные данным Кодексом меры для всестороннего и полного установления всех фактических обстоятельств по административному делу, в том числе для правильного применения законов и иных нормативных правовых актов при рассмотрении и разрешении административного дела (пункт 7 статьи 6 и часть 2 статьи 14). Исходя из этого федеральный законодатель допустил возможность суда выйти за пределы заявленных административным истцом требований (предмета административного искового заявления или приведенных административным истцом оснований и доводов) в случаях, предусмотренных названным Кодексом (часть 1 статьи 178). Указанные законоположения, действующие в системной взаимосвязи, исключают возможность произвольного изложения в судебном решении требований административного истца и изменение предмета или оснований административного искового заявления, а также не позволяют игнорировать доводы административного истца. 3 Таким образом, оспариваемое законоположение ни само по себе, ни во взаимосвязи с иными положениями Кодекса административного судопроизводства Российской Федерации не может рассматриваться как нарушающее конституционные права заявительницы в указанном ею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Зотовой Натальи Витальевны,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