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Боженко Сергея Викторовича на нарушение его конституционных прав пунктом 39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С.В.Боженко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С.В.Боженко оспаривает конституционность пункта 39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(утверждены Постановлением Правительства Российской Федерации от 21 декабря 2019 года № 1764; далее – Правила), согласно которому присвоение государственного регистрационного номера транспортного средства осуществляется в соответствии с цифровым кодом региона места регистрации владельца транспортного средства. 2 Как следует из представленных материалов, решением районного суда, с которым согласились вышестоящие суды, С.В.Боженко отказано в удовлетворении административного искового заявления о признании незаконным решения уполномоченного органа, которым заявителю было отказано в присвоении регистрируемому транспортному средству сохраненного за ним государственного регистрационного знака. Суды, наряду с иным, ссылаясь на оспариваемую норму, отметили, что цифровой код региона на сохраненном за заявителем государственном регистрационном номере не совпадает с действующим цифровым кодом региона, где находится его место регистрации. Заявитель просит признать оспариваемую норму не соответствующей статьям 2, 18 и 46 (часть 1) Конституции Российской Федерации, поскольку она не позволила ему реализовать право на присвоение транспортному средству ранее сохраненного за ним как за владельцем транспортного средства государственного регистрационного номера.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Боженко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