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Игнатова Александра Владимировича на нарушение его конституционных прав пунктом 4 части 1 статьи 3 Федерального закона «О государственном языке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А.В.Игнатова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А.В.Игнатов оспаривает конституционность пункта 4 части 1 статьи 3 Федерального закона от 1 июня 2005 года № 53-ФЗ «О государственном языке Российской Федерации», в соответствии с которым государственный язык Российской Федерации подлежит обязательному использованию в конституционном, гражданском, уголовном, административном судопроизводстве, судопроизводстве в арбитражных судах, делопроизводстве в федеральных судах, судопроизводстве и делопроизводстве у мировых судей и в других судах субъектов Российской Федерации. 2 Как следует из представленных материалов, заявитель неоднократно обращался в суды общей юрисдикции и в Верховный Суд Российской Федерации с требованиями об исправлении описок, допущенных, по его мнению, в судебных актах. Вступившими в законную силу определениями указанных судов заявителю было отказано в удовлетворении его требований. Заявитель полагает, что оспариваемая норма позволяет выносить судебные акты, в которых, по его мнению, допущены грамматические и орфографические ошибки, а потому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Игнатова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