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Ибатуллина Эрнеста Робертовича на нарушение его конституционных прав статьей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Э.Р.Ибатуллина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Э.Р.Ибатуллин оспаривает конституционность статьи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Э.Р.Ибатуллину отказано в удовлетворении исковых требований о взыскании денежных средств.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инстанции. 2 В связи с этим Э.Р.Ибатуллин просит признать статью 67 ГПК Российской Федерации не соответствующей статьям 1 (часть 1), 4 (часть 2). 15 (части 1 и 2), 17, 19 (части 1 и 2), 45 (часть 1), 46 (часть 1), 55 (часть 3), 120 (часть 1) и 123 (часть 3) Конституции Российской Федерации, поскольку она допускает произвольную оценку судом доказательств.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Ибатуллина Эрнеста Робертовича,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