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Аматуни Левона Арташесовича на нарушение его конституционных прав абзацем четырнадцатым статьи 3 Федерального закона «О противодействии легализации (отмыванию) доходов, полученных преступным путем, и финансированию терроризма»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Л.А.Аматуни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Л.А.Аматуни оспаривает конституционность абзаца четырнадцатого статьи 3 Федерального закона от 7 августа 2001 года № 115- ФЗ «О противодействии легализации (отмыванию) доходов, полученных преступным путем, и финансированию терроризма», согласно которому под идентификацией понимается совокупность мероприятий по установлению определенных данным Федеральным законом сведений о клиентах, их представителях, выгодоприобретателях, бенефициарных владельцах и подтверждению достоверности этих сведений с использованием оригиналов 2 документов и (или) надлежащим образом заверенных копий и (или) государственных и иных информационных систем. Из представленных материалов следует, что вступившим в законную силу решением Верховного Суда Российской Федерации Л.А.Аматуни отказано в удовлетворении административного искового заявления о признании недействующим абзаца четвертого письма Банка России от 28 августа 2020 года в части разъяснения о правомочности негосударственного пенсионного фонда использовать для идентификации клиента документ, подписанный простой электронной подписью. Суд указал, что оспариваемое письмо не обладает свойствами нормативности, а финансовые организации самостоятельно определяют способ заверения копии документов в целях противодействия легализации доходов, полученных преступным путем. По мнению заявителя, оспариваемое законоположение не соответствует статьям 2, 17 (часть 3), 18, 19 (часть 1), 45 (часть 2), 55 (часть 3), 60 и 751 Конституции Российской Федерации, поскольку допускает использование простой электронной подписи для подтверждения достоверности сведений, предоставляемых финансовым организациям, в целях идентификации клиентов.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Федерального закона «О противодействии легализации (отмыванию) доходов, полученных преступным путем, и финансированию терроризма» содержит дефиницию понятия «идентификация», используемую для целей данного Федерального закона, и не определяет способы подтверждения достоверности сведений о клиентах финансовых организаций с использованием оригиналов документов, а также не устанавливает требования к надлежащему заверению копий соответствующих документов. Следовательно, данная норма не может расцениваться как нарушающая конституционные права заявителя в указанном им аспекте. 3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Аматуни Левона Арташесовича,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