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Гуляевой Людмилы Владимировны на нарушение ее конституционных прав статьями 25, 35 и 38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Л.В.Гуляевой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Л.В.Гуляева оспаривает конституционность статей 25 «Момент прекращения брака при его расторжении», 35 «Владение, пользование и распоряжение общим имуществом супругов» и 38 «Раздел общего имущества супругов» Семейного кодекса Российской Федерации. Из представленных материалов следует, что при разделе общего имущества супругов, брак которых расторгнут, апелляционным определением (принято после направления дела на новое рассмотрение в соответствующей части в суд апелляционной инстанции кассационным судом общей юрисдикции), среди прочего, с Л.В.Гуляевой в пользу ее бывшего супруга взысканы денежные средства в связи с продажей ею транспортного средства. Суды исходили из того, что транспортное средство продано после прекращения семейных отношений сторон. В передаче кассационной жалобы Л.В.Гуляевой 2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противоречат Конституции Российской Федерации, поскольку по смыслу, придаваемому им правоприменительной практикой, они позволяют произвольно определять момент прекращения семейных отношений и произвольно разрешать дело.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Гуляевой Людмилы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