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Лукашина Олега Владимировича на нарушение его конституционных прав статьями 26.11, 29.10, 30.7 и 30.17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О.В.Лукашина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О.В.Лукашин оспаривает конституционность статей 26.11 «Оценка доказательств», 29.10 «Постановление по делу об административном правонарушении», 30.7 «Решение по жалобе на постановление по делу об административном правонарушении» и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оставленным без изменения судами вышестоящих инстанций, 2 заявитель был признан виновным в совершении административного правонарушения, выразившегося в обгоне транспортного средства в нарушение правил дорожного движения, и ему назначено административное наказание в виде административного штрафа в размере пяти тысяч рублей. Заявитель, не соглашаясь с правоприменительными решениями по делу, полагает, что оспариваемые нормы нарушают его право на судебную защиту и противоречат статьям 2, 15, 17–19, 45, 46, 49, 50, 55, 118, 120 и 123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формально оспаривая конституционность норм, перечисленных в его жалобе, он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установление фактических обстоятельств, имеющих значение для разрешения дела,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Кроме того,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3 в котором был применен соответствующий нормативный акт. Упомянутый годичный срок (пропуск которого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Лукашина Олега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