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Колковой Светланы Геннадьевны на нарушение ее конституционных прав пунктами 1 и 2 статьи 60, пунктом 1 статьи 61, пунктами 1 и 2 статьи 80 Семейного кодекса Российской Федерации, а также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С.Г.Колковой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С.Г.Колкова оспаривает конституционность пунктов 1 и 2 статьи 60 «Имущественные права ребенка», пункта 1 статьи 61 «Равенство прав и обязанностей родителей», пунктов 1 и 2 статьи 80 «Обязанности родителей по содержанию несовершеннолетних детей» Семейного кодекса Российской Федерации, а также пункта 1 части первой статьи 134 «Отказ в принятии искового заявления» ГПК Российской Федерации. Из представленных материалов следует, что определением суда первой инстанции, оставленным без изменения апелляционным определением суда общей юрисдикции (с учетом определения об исправлении описки), отказано 2 в принятии искового заявления С.Г.Колковой о взыскании алиментов на ее совершеннолетнюю дочь. В передаче кассационной жалобы на названные определения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17 (часть 1), 18, 38 (часть 2) и 46 (часть 1) Конституции Российской Федерации, поскольку они позволяют отказывать в принятии искового заявления о взыскании с родителя совершеннолетнего ребенка денежных средств в связи с предоставлением ребенку до его совершеннолетия содержания вторым родителем.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60 Семейного кодекса Российской Федерации имеют целью создание условий для воспитания и развития ребенка и защиту его имущественных прав (Определение Конституционного Суда Российской Федерации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Колковой Светланы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