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Карпова Александра Борисовича на нарушение его конституционных прав статьей 62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А.Б.Карпова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А.Б.Карпов оспаривает конституционность статьи 62 «Удержания из пенсии и порядок выплаты пенсии за выслугу лет при обнаружении ошибки»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2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семей». По мнению заявителя, оспариваемая норма не соответствует статьям 1 (часть 1), 2, 17 (часть 1), 18, 19 (части 1 и 2), 55 (части 2 и 3), 75 (часть 6) и 751 Конституции Российской Федерации в той мере, в какой она допускает возможность приостановления выплаты пенсии за выслугу лет гражданину, которому ранее была установлена государственная пенсия по старости по основанию, связанному с чернобыльской катастрофой, как не имеющему права на одновременное получение двух пенсий.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62 Закона Российской Федерации от 12 февраля 1993 года № 4468-I, предусматривающая, что в случае обнаружения ошибки, допущенной при назначении пенсии за выслугу лет, производится устранение этой ошибки в соответствии с законодательством Российской Федерации, действует во взаимосвязи с другими законоположениями, определяющими правовые последствия выявления такой ошибки, в том числе с частью шестой указанной статьи, согласно которой прекращение выплаты пенсии за выслугу лет в связи с отсутствием права на нее либо приобретением права на другой вид пенсии производится с 1-го числа месяца, следующего за месяцем, в котором наступили указанные обстоятельства. Следовательно, названные положения оспариваемой нормы не могут расцениваться как нарушающие конституционные права заявителя, поскольку они направлены на обеспечение обоснованности назначения пенсии за выслугу лет и не предполагают произвольного прекращения ее 3 выплаты, обоснованность которого к тому же может быть предметом судебной проверки. Что касается иных оспариваемых А.Б.Карповым положений статьи 62 Закона Российской Федерации от 12 февраля 1993 года № 4468-I, а именно ее частей первой, второй, четвертой и пятой, то их применение судами общей юрисдикции при разрешении дела с его участием представленными документами не подтверждается, в силу чего данная жалоба и в этой части не отвечает критерию допустимости, закрепленному в Федеральном конституционном законе «О Конституционном Суде Российской Федерации», и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Карпова Александра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