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Кикнадзе Анжелы Тенгизовны на нарушение ее конституционных прав пунктом 2 статьи 450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А.Т.Кикнадзе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А.Т.Кикнадзе оспаривает конституционность пункта 2 статьи 450 «Основания изменения и расторжения договора»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 том числе в признании договора купли-продажи объектов недвижимости недействительным, а также в удовлетворении требования о расторжении этого договора. По мнению А.Т.Кикнадзе, оспариваемое законоположение противоречит Конституции Российской Федерации, в частности ее статьям 2, 2 8, 17 (часть 1), 18, 19 (часть 1), 35 (части 1 и 2), 40 (часть 1) и 55, поскольку создает правовую неопределенность и не позволяет продавцам объектов недвижимости защитить свои имущественные права в случае неполучения денежных средств в счет оплаты этих объектов.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450 ГК Российской Федерации, содержащий понятие существенного нарушения договора одной из сторон как основания изменения или расторжения договора в судебном порядке по требованию другой стороны и предполагающий определение судом в рамках его дискреционных полномочий существенности такого нарушения в конкретном деле, направлен на обеспечение баланса интересов сторон договора с учетом имеющихся фактических обстоятельств (определения Конституционного Суда Российской Федерации от 23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Кикнадзе Анжелы Тенгизовны,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