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Жаринова Андрея Юрьевича на нарушение его конституционных прав статьей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А.Ю.Жаринова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оставленным без изменения вышестоящими судебными инстанциями, отказано в принятии к производству в порядке статьи 125 УПК Российской Федерации жалобы гражданина А.Ю.Жаринова. Суд пришел к выводу, что заявитель обжалует ответ должностного лица следственного органа, которым его обращение перенаправлено для рассмотрения в прокуратуру, а потому отсутствует предмет обжалования в порядке названной судебной процедуры, поскольку такой ответ не причиняет ущерба конституционным правам и свободам заявителя и не затрудняет доступ к правосудию. 2 А.Ю.Жаринов утверждает, что статья 125 «Судебный порядок рассмотрения жалоб» УПК Российской Федерации (ошибочно поименованная в жалобе как статья 125 УК Российской Федерации) противоречит Конституции Российской Федерации, поскольку по смыслу, придаваемому ей сложившейся правоприменительной практикой, она лишает граждан возможности защиты своих прав. Кроме того, заявитель просит проверить на соответствие Конституции Российской Федерации принятые по его жалобам судебные решения.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Жаринова Андрея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