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Федерального конституционного закона от 21 июля 1994 года № 1-ФКЗ «О Конституционном Суде Российской Федерации», Кодекса административного судопроизводства Российской Федерации, Уголовно- исполнительного кодекса Российской Федерации и Уголовно- процессуального кодекса Российской Федерации.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 Кроме того, заявитель выражает несогласие с ранее принятыми по его жалобам определениями Конституционного Суда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