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Заверюхи Людмилы Сергеевны на нарушение ее конституционных прав пунктом 4 части 1 статьи 3 Федерального закона «О государственном языке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Л.С.Заверюхи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Л.С.Заверюха оспаривает конституционность пункта 4 части 1 статьи 3 Федерального закона от 1 июня 2005 года № 53-ФЗ «О государственном языке Российской Федерации», в соответствии с которым государственный язык Российской Федерации подлежит обязательному использованию в конституционном, гражданском, уголовном, административном судопроизводстве, судопроизводстве в арбитражных судах, делопроизводстве в федеральных судах, судопроизводстве и делопроизводстве у мировых судей и в других судах субъектов Российской Федерации. 2 Как следует из представленных материалов, заявительница неоднократно обращалась в Третий кассационный суд общей юрисдикции и в Верховный Суд Российской Федерации с требованиями об исправлении описок, допущенных, по ее мнению, в судебных актах названных судов. Вступившими в законную силу определениями указанных судов заявительнице было отказано в удовлетворении ее требований. Заявительница полагает, что оспариваемая норма позволяет выносить судебные акты, в которых, по ее мнению, допущены грамматические и орфографические ошибки, а потому противоречит Конституции Российской Федерации, ее статье 68 (часть 1).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Заверюхи Людмилы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