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2135-О/2025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Золотова Олега Олеговича на нарушение его конституционных прав частью 1 статьи 24.5, пунктом 4 части 1 статьи 28.1 и частью 1 статьи 28.9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О.О.Золотова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О.О.Золотов оспаривает конституционность части 1 статьи 24.5 «Обстоятельства, исключающие производство по делу об административном правонарушении», пункта 4 части 1 статьи 28.1 «Возбуждение дела об административном правонарушении» и части 1 статьи 28.9 «Прекращение производства по делу об административном правонарушении» КоАП Российской Федерации. Как следует из представленных материалов, постановлением уполномоченного должностного лица заявитель признан виновным в совершении административного правонарушения, выразившегося в занятии 2 парковочного места на платной парковке без оплаты (статья 372 «Нарушение правил пользования платными парковками» Закона Санкт-Петербурга от 31 мая 2010 года № 273-70 «Об административных правонарушениях в Санкт- Петербурге»), и ему назначено административное наказание в виде административного штрафа в размере трех тысяч рублей. Решением суда общей юрисдикции, оставленным без изменения судами вышестоящих инстанций, названное постановление было отменено, дело об административном правонарушении было прекращено ввиду малозначительности. При этом суды отметили, что, вопреки доводам заявителя, технические средства, которыми была произведена фиксация административного правонарушения, прошли все необходимые проверки в установленном порядке, а потому не имеется оснований для прекращения дела в связи с отсутствием состава административного правонарушения. Заявитель, выражая несогласие с судебными актами по своему конкретному делу, полагает, что оспариваемые нормы позволяют использовать в деле об административном правонарушении показания технических средств, полученные с нарушением закона, а потому противоречат статьям 46 (часть 1) и 50 (часть 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заявителем в обоснование своей позиции, свидетельствуют о том, что, формально оспаривая конституционность норм, перечисленных в его жалобе, он фактически выражает несогласие с выводами судов, сделанными на основании исследования ими обстоятельств конкретного дела и оценки доказательств, в частности, относительно законности использования показаний специальных технических средств. Между тем оценка обоснованности судебных актов, а равно и установление фактических обстоятельств, имеющих значение для разрешения дела, не входят в компетенцию Конституционного Суда Российской Федерации, как 3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Золотова Олега Олеговича,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