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статьей 186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статьи 186 «Заявление о подложности доказательства»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были частично удовлетворены исковые требования А.Ю.Печорина, заявленные в рамках трудового спора.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отказано. 2 В связи с этим А.Ю.Печорин просит признать оспариваемое законоположение не соответствующим статьям 120 (часть 2) и 123 (часть 3) Конституции Российской Федерации, поскольку оно позволяет суду произвольно его трактовать, не соблюдать содержащиеся в нем предписания, отказывать в принятии и рассмотрении отдельных ходатайств, в частности заявления о том, что имеющиеся в деле доказательства являются подложными.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Установленное статьей 186 ГПК Российской Федерации право суда назначить экспертизу, в случае если поступило заявление о том, что имеющееся в деле доказательство является подложным, или предложить сторонам представить иные доказательства вытекает из принципа самостоятельности и независимости судебной власти. При поступлении такого заявления суд оценивает его в совокупности с другими доказательствами и обстоятельствами дела, исходя из возложенной на него обязанности по вынесению законного и обоснованного решения (статья 195 ГПК Российской Федерации). Кроме того, наделение суда названным правом не предполагает произвольного его применения, поскольку при наличии у суда обоснованных сомнений в подлинности доказательства он обязан принять меры, предусмотренные указанной статьей. Процессуальной гарантией для лиц, участвующих в деле, выступают требования законности и обоснованности, предъявляемые к выносимому судебному решению, и предусмотренные гражданским процессуальным законодательством процедуры проверки судебных постановлений. Таким образом, статья 186 ГПК Российской Федерации, призванная обеспечить недопущение использования при осуществлении правосудия фальсифицированных доказательств, в системе норм действующего гражданского процессуального законодательства не может расцениваться в качестве нарушающей конституционные права заявителя. 3 В обоснование своей жалобы А.Ю.Печорин приводит доводы о подложности доказательств, положенных в основу судебных постановлений по конкретному делу, об уклонении судов от исследования представленных им доказательств, об игнорировании судами его ходатайств, а также об иных процессуальных нарушениях, допущенных, как считает заявитель, в его деле. Разрешение же данных вопросов, предполагающее проверку правомерности судебных постановлений,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