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Епишевой Людмилы Владимировны на нарушение ее конституционных прав статьей 191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Л.В.Епишевой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Л.В.Епишева оспаривает конституционность статьи 191 Трудового кодекса Российской Федерации, а фактически – ее части первой, согласно которой работодатель поощряет работников, добросовестно исполняющих трудовые обязанности (объявляет благодарность, выдает премию, награждает ценным подарком, почетной грамотой, представляет к званию лучшего по профессии). По мнению заявительницы, оспариваемое положение не соответствует статье 37 Конституции Российской Федерации, поскольку позволяет работодателю произвольно решать вопрос о выплате работнику премиальной части заработной платы, а судам – отказывать во взыскании с работодателя премии на основании отсутствия в материалах дела приказа о премировании.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Епишевой Людмилы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