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«ДОМ.РФ» на нарушение его конституционных прав статьями 200 и 207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«ДОМ.РФ»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«ДОМ.РФ», которому в связи с пропуском срока исковой давности по главным требованиям отказано в удовлетворении исков о взыскании неустойки, оспаривает конституционность статей 200 «Начало течения срока исковой давности» и 207 «Применение исковой давности к дополнительным требованиям» ГК Российской Федерации. По мнению заявителя, оспариваемые нормы противоречат статьям 1 (часть 1), 15, 19 и 46 (часть 1)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дают судам возможность применять нормы о пропуске срока исковой давности по дополнительному 2 требованию (проценты, неустойка и т.д.) в связи с истечением срока по главному требованию неимущественного характера, независимо от того, носило ли неисполнение главного обязательства длящийся характер, в том числе независимо от наличия оснований для перерыва течения срока исковой давности в связи с исполнением главного обязательства.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«ДОМ.РФ»,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