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Искорнева Владимира Михайловича на нарушение его конституционных прав Положением о порядке осуществления денежной компенсации владельцам сносимых индивидуальных гаражей при освобождении территорий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В.М.Искорнева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районного суда (оставленным без изменения судами вышестоящих инстанций) В.М.Искорневу отказано в удовлетворении исковых требований к управе района Коньково города Москвы (далее – Управа) о возмещении денежных средств в связи со сносом принадлежавшего заявителю гаража. Принимая указанное решение, суд сослался на правомерность действий Управы и иных органов власти, их соответствие Положению о порядке осуществления денежной компенсации владельцам сносимых индивидуальных гаражей при освобождении территорий города Москвы (утверждено постановлением Правительства Москвы от 9 марта 2011 года № 2 63-ПП; далее – Положение), а также на недоказанность причинения имущественного ущерба заявителю в результате утраты его личного имущества, находившегося в снесенном гараже.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отказано. В.М.Искорнев просит признать Положение не соответствующим статьям 18, 19, 35, 46 (часть 1) и 55 Конституции Российской Федерации в той мере, в которой его правовая неопределенность и отсутствие безусловных гарантий выплаты компенсации позволяют органам исполнительной власти и судам произвольно отказывать гражданам в предоставлении равноценного возмещения за принудительно изъятое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судебных актов, отказ в удовлетворении исковых требований заявителя связан с недоказанностью ущерба, нанесенного ему в результате утраты личного имущества при сносе гаража, и не обусловлен, вопреки доводам жалобы, отсутствием необходимых для выплаты компенсации бюджетных средств. При этом суд кассационной инстанции отметил, что В.М.Искорнев не лишен права на заключение соглашения об осуществлении компенсации в связи со сносом принадлежавшего ему гаража в соответствии с оспариваемым им нормативно-правовым актом. Доводы, приведенные заявителем в обоснование своей позиции, свидетельствуют о том, что нарушение своих конституционных прав он связывает не с содержанием оспариваемых норм, а с их ошибочным применением в судебных решениях, с которыми заявитель выражает свое несогласие. 3 Между тем установление и оценка фактических обстоятельств, имеющих значение для разрешения конкретного дела с участием заявителя, равно как и проверка правильности применения судом оспариваемых норм с учетом данных обстоятельств,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Искорнева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