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Котуна Александра Петровича на нарушение его конституционных прав пунктом 14 статьи 15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А.П.Котуна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А.П.Котун оспаривает конституционность пункта 14 статьи 15 Федерального закона от 27 мая 1998 года № 76-ФЗ «О статусе военнослужащих» о жилищных гарантиях для определенной категории военнослужащих. Из представленных материалов следует, что решением гарнизонного военного суда, с которым согласились суды вышестоящих инстанций, заявителю отказано в удовлетворении административного иска, связанного с принятием на учет в качестве нуждающегося в жилом помещении (вместе с 2 сыном), ввиду отсутствия предусмотренных жилищным законодательством правовых оснований для постановки А.П.Котуна на такой учет. По мнению А.П.Котуна, оспариваемая норма не соответствует Конституции Российской Федерации, ее статьям 1 (часть 1), 2, 17 (часть 1), 18, 19 (часть 2), 40 и 55 (часть 3), поскольку ее положения не применяются и не рассматриваются в качестве самостоятельного, независимого от предписаний Жилищного кодекса Российской Федерации основания для предоставления жилищных гарантий военнослужащим.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Применительно к положениям статьи 15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Котуна Александра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