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Миронова Валентина Владимировича на нарушение его конституционных прав пунктом 5 статьи 61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В.В.Миронова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В.В.Миронов оспаривает конституционность пункта 5 статьи 61 «Распределение суммы, вырученной от реализации заложенного имущества» Федерального закона от 16 июля 1998 года № 102-ФЗ «Об ипотеке (залоге недвижимости)». Как следует из представленных материалов, решением суда общей юрисдикции, оставленным без изменения определением суда апелляционной инстанции, с ответчиков, включая В.В.Миронова, солидарно взыскана неустойка по кредитному договору, причем указано, что кредитор получает удовлетворение из стоимости заложенного жилого помещения, на которое 2 ранее в судебном порядке было обращено взыскание. В передаче кассационной жалобы на названные судебные постановления и определение суда кассационной инстанции, которым апелляционное определение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При этом из приложенной к обращению копии решения суда общей юрисдикции, которым ответчики, включая В.В.Миронова, выселены из жилого помещения, следует, что неустойка взыскана за период, предшествующий реализации жилого помещения с торгов и заключению договора купли-продажи с лицом, выигравшим торги. По мнению заявителя, оспариваемое положение противоречит статьям 2 и 35 Конституции Российской Федерации, поскольку оно не предусматривает, что обязательство, исполнение которого обеспечено ипотекой, прекращается при реализации предмета ипотеки путем продажи с торгов и прекращении права собственности гражданина-должника.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Если иное не предусмотрено законом или договором, при недостаточности суммы, вырученной в результате обращения взыскания на заложенное имущество, для погашения требования залогодержатель вправе удовлетворить свое требование в непогашенной части за счет иного имущества должника, не пользуясь преимуществом, основанным на залоге (абзац первый пункта 3 статьи 334 ГК Российской Федерации). Пункт 5 статьи 61 Федерального закона «Об ипотеке (залоге недвижимости)» как в редакции Федерального закона от 23 июня 2014 года № 169-ФЗ, так и в ранее действовавшей редакции обеспечивает защиту интересов залогодателя (Определение Конституционного Суда Российской Федерации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Миронова Валентина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