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пункта 1 части 1 статьи 128 КАС Российской Федерации, в соответствии с которым, если иное не предусмотрено данным Кодексом, судья отказывает в принятии административного искового заявления в случае, когда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судах. Как следует из представленных материалов, определением суда общей юрисдикции, с которым согласились вышестоящие суды, отказано в 2 принятии административного искового заявления В.И.Сергиенко в части его требований о признании незаконным бездействия работника аппарата суда общей юрисдикции, выразившегося, по мнению заявителя, в непередаче своевременно его паспорта, сданного им при явке в судебное заседание, в отдел полиции. Суды указали, что законодательство предусматривает для данного случая специальный способ защиты права путем обращения с жалобой на действия работника аппарата суда к председателю суда. По мнению заявителя, оспариваемое законоположение не соответствует статьям 19 и 46 Конституции Российской Федерации, поскольку позволяет суду отказывать в принятии административного искового заявления об оспаривании бездействия работника аппарата суда (секретаря судебного заседания), выразившегося в невозвращении гражданину его паспорта и непередаче паспорта в отдел полиции.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 (определения Конституционного Суда Российской Федерации от 14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