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«Мурманскпромстрой» на нарушение его конституционных прав статьей 379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публичного акционерного общества «Мурманскпромстрой»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«Мурманскпромстрой» (далее также – ПАО «Мурманскпромстрой») оспаривает конституционность статьи 379 «Возмещение гаранту сумм, выплаченных по независимой гарантии» ГК Российской Федерации.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банка о взыскании с ПАО «Мурманскпромстрой» задолженности по договору о предоставлении банковских гарантий в виде платы за отвлечение денежных средств по гарантии. В передаче 2 кассационной жалобы заявителя для рассмотрения в судебном заседании Судебной коллегии по экономическим спорам Верховного Суда Российской Федерации отказано. По мнению заявителя, статья 379 ГК Российской Федерации не соответствует статьям 2, 8, 19, 35, 45 и 46 Конституции Российской Федерации, поскольку в силу неопределенности своего содержания допускает произвольное толкование права гаранта на получение от принципала платы за отвлечение гарантом денежных средств по независимой гарантии, в частности, в ситуации злоупотребления бенефициаром своими правами при предъявлении требования к гаранту о выплате денежных средств по гарантии, отсутствия со стороны принципала каких-либо нарушений обеспеченного независимой гарантией основного обязательства, а также отсутствия у принципала обязательств перед гарантом по возмещению выплаченных ранее гарантом бенефициару денежных средств по гарантии. ПАО «Мурманскпромстрой» также просит пересмотреть судебные акты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379 ГК Российской Федерации с учетом конституционно значимого принципа свободы договора обеспечивают баланс интересов гаранта и принципала и не могут расцениваться как нарушающие в обозначенном в жалобе аспекте конституционные права ПАО «Мурманскпромстрой». При этом данные положения во взаимосвязи с иными положениями Гражданского кодекса Российской Федерации, в том числе о банковской гарантии, не исключают требований принципала к бенефициару о возмещении убытков, вызванных недобросовестным поведением последнего при получении денежных средств по банковской гарантии. Установление же фактических обстоятельств конкретного дела, оценка доказательств и проверка правильности применения правовых норм с учетом 3 указанных обстоятельств, а также разрешение иных вопросов, поставленных в жалобе, в силу статьи 125 Конституции Российской Федерации и статьи 3 Федерального конституционного закона «О Конституционном Суде Российской Федерации» к компетенции Конституционного Суда Российской Федерации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«Мурманскпромстрой»,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