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Зуевой Татьяны Николаевны на нарушение ее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Т.Н.Зуевой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Т.Н.Зуева оспаривает конституционность статей 179 «Изложение решения суда», 180 «Содержание решения суда», 309 «Полномочия суда апелляционной инстанции», 310 «Основания для отмены или изменения решения суда в апелляционном порядке», 311 «Судебный акт суда апелляционной инстанции», 323 «Изучение кассационных жалобы, представления судьей Верховного Суда Российской Федерации», 324 «Отказ в передаче кассационных жалобы, представления для рассмотрения в судебном заседании Верховного Суда Российской Федерации», 328 «Основания для отмены или изменения судебных актов в кассационном 2 порядке», 329 «Полномочия суда кассационной инстанции» и 330 «Кассационное определение» КАС Российской Федерации. Как следует из представленных материалов, решением районного суда, с которым согласились вышестоящие суды, отказано в удовлетворении административного искового заявления Т.Н.Зуевой о признании незаконным бездействия главы муниципального образования и местной администрации, выразившегося в неорганизации осуществления капитального ремонта квартиры на момент ее приватизации, и о компенсации морального вреда. Заявительница просит признать оспариваемые законоположения не соответствующими ряду статей Конституции Российской Федерации, поскольку они позволили судам не принять во внимание обстоятельства, имеющие значение для правильного разрешения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Т.Н.Зуевой положения Кодекса административного судопроизводства Российской Федерации определяют содержание судебного акта, форму его изложения, полномочия суда апелляционной и кассационной инстанций, основания для отмены (изменения) судебных актов в апелляционном и кассационном порядке, порядок изучения кассационной жалобы судьей Верховного Суда Российской Федерации, решения, принимаемые по результатам этого изучения. Данные нормы обеспечивают правильное рассмотрение и разрешение административных дел и, действуя во взаимосвязи с иными нормами указанного Кодекса, не предполагают возможности произвольного применения и, следовательно, не могут рассматриваться как нарушающие конституционные права заявительницы. Доводы, приведенные в жалобе, свидетельствуют о том, что, формально оспаривая конституционность статей 179, 180, 309–311, 323, 324 и 328–330 КАС Российской Федерации, заявительница, по существу, ставит перед Конституционным Судом Российской Федерации вопрос об оценке правомерности и обоснованности судебных актов с учетом обстоятельств ее 3 конкретного дела. Между тем разрешение указанного вопроса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Зуевой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