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Маценовой Евы Борисовны на нарушение ее конституционных прав статьей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Е.Б.Маценовой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Е.Б.Маценова оспаривает конституционность статьи 112 «Восстановление процессуальных сроков» ГПК Российской Федерации. Как следует из представленных материалов, определением суда общей юрисдикции от 26 сентября 2023 года, оставленным без изменения апелляционным определением от 10 января 2024 года и определением кассационного суда общей юрисдикции от 26 июля 2024 года, Е.Б.Маценовой отказано в удовлетворении заявления о восстановлении срока подачи апелляционной жалобы. Письмом сотрудника аппарата Верховного Суда Российской Федерации от 30 октября 2024 года Е.Б.Маценовой возвращена без рассмотрения по существу поданная ею кассационная 2 жалоба, поскольку к ней не были приложены заверенные в установленном порядке копии обжалуемых судебных постановлений. По мнению заявительницы, оспариваемое законоположение противоречит Конституции Российской Федерации, ее статьям 19 (часть 1), 35, 40 и 46 (часть 1), поскольку не позволяет лицу, не привлеченному к участию в деле, восстановить пропущенный процессуальный срок обжалования судебного постановления в том случае, когда юридические последствия обжалуемого постановления наступили для такого лица спустя значительное время.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когда вступившие в силу судебные акты по данной категории дел подлежат обжалованию только в надзорном порядке, надзорной жалобы, если судебный акт, в котором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Помимо этого, условием допустимости жалобы на нарушение нормативным актом конституционных прав и свобод согласно пункту 2 статьи 97 Федерального конституционного закона «О Конституционном Суде Российской Федерации» является ее подача в срок не позднее 3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представленные с жалобой Е.Б.Маценовой материалы не подтверждают исчерпания ею внутригосударственных средств судебной защиты. Письмо сотрудника аппарата Верховного Суда Российской Федерации от 30 октября 2024 года не свидетельствует о таком исчерпании, поскольку этим письмом кассационная жалоба заявительницы возвращена без рассмотрения по существу в связи с несоблюдением процессуальных требований. С момента же вынесения последнего судебного постановления, в котором применялась оспариваемая Е.Б.Маценовой статья 112 ГПК Российской Федерации (определение кассационного суда общей юрисдикции от 26 июля 2024 года), до дня подачи ею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Маценовой Евы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