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Клементьевой Ирины Всеволодовны на нарушение ее конституционных прав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И.В.Клементьевой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И.В.Клементьева, с которой в порядке гражданского судопроизводства в пользу юридического лица взыскан ущерб, причиненный преступлениями, в размере, установленном вступившим в законную силу приговором (с учетом изменений, внесенных судом апелляционной инстанции), оспаривает конституционность части четвертой статьи 61 «Основания для освобождения от доказывания» ГПК Российской Федерации. По мнению заявительницы, оспариваемая норма не соответствует статьям 2, 15 (часть 1), 17 (части 1 и 3), 19 (часть 1), 45, 46 (часть 1) и 55 (часть 3) Конституции Российской Федерации в той мере, в какой она 2 позволяет при рассмотрении в порядке гражданского судопроизводства вопроса о возмещении ущерба, причиненного преступлением, включать в размер ущерба сумму уплаченных налогов и страховых взносов. Кроме того, в жалобе указано, что данное положение является неопределенным применительно к следующим вопросам: освобождается ли истец от доказывания ущерба, причиненного преступлением, и ограничен ли ответчик в возможности доказывания ущерба в меньшем размере.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Клементьевой Ирины Всеволодовны,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