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Сапрыкина Антона Владимировича на нарушение его конституционных прав положениями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А.В.Сапрыкина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А.В.Сапрыкин оспаривает конституционность частей 1–4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закрепляющих, помимо прочего, обязанность лиц, ведущих садоводство или огородничество на земельных участках, расположенных в границах территории садоводства или огородничества, без участия в товариществе, вносить плату за приобретение, создание, содержание 2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товарищества. Из представленных материалов следует, что решением мирового судьи, с которым согласились суды вышестоящих инстанций, с заявителя как собственника земельного участка, расположенного в границах территории садоводства, взыскана в пользу садоводческого некоммерческого товарищества задолженность в размере членских взносов, установленных в данном товариществе и предназначенных для содержания общего имущества. По мнению А.В.Сапрыкина, оспариваемые законоположения не соответствуют статьям 17 (часть 3), 35 (часть 2) и 57 Конституции Российской Федерации, поскольку они позволяют взыскивать с граждан, не являющихся членам садоводческого некоммерческого товарищества, членские взносы, направляемые не только на оплату расходов по содержанию общего имущества, но и на иные цели.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призваны обеспечить справедливый баланс индивидуальных и коллективных интересов в данной сфере общественных отношений (определения Конституционного Суда Российской Федерации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Сапрыкина Антона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