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Гаркушева Вадима Николаевича на нарушение его конституционных прав частью 51 статьи 48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В.Н.Гаркушева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В.Н.Гаркушев оспаривает конституционность части 51 статьи 48 «Голосование на общем собрании собственников помещений в многоквартирном доме» Жилищного кодекса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заявителю наряду с гражданкой Г. отказано в признании недействительным решения общего собрания собственников помещений многоквартирного дома, в котором они проживают. Доводы истцов о несоблюдении кворума ввиду необходимости исключения из числа голосовавших тех лиц, которые не указали в бюллетенях сведения о документе, подтверждающем их право 2 собственности на помещение в соответствующем многоквартирном доме, отклонены судами в связи с тем, что представленная в приложении к протоколу оспариваемого решения информация о собственниках со ссылкой на данные из Единого государственного реестра недвижимости не препятствует установлению личности каждого проголосовавшего и проверке наличия у них полномочий на участие в голосовании. По мнению В.Н.Гаркушева, часть 51 статьи 48 Жилищного кодекса Российской Федерации противоречит статьям 1, 18, 19, 45 (часть 1), 46 (часть 1) и 55 Конституции Российской Федерации в той мере, в какой она допускает неисполнение содержащегося в ней требования о том, что в решении собственника должны быть указаны сведения, предусмотренные пунктом 2 указанной нормы, в случае если эти данные могут содержаться в иных документах, в том числе добытых по запросу суда, либо могут быть предоставлены третьими лицами.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51 статьи 48 Жилищного кодекса Российской Федерации, устанавливающая в качестве одного из требований к решению собственника по вопросам, поставленным на голосование, которое включается в протокол общего собрания, указание сведений о документе, подтверждающем право собственности лица, участвующего в голосовании, на помещение в соответствующем многоквартирном доме (пункт 2), направлена на исключение участия в голосовании неуправомоченных лиц и тем самым на защиту прав всех собственников помещений в многоквартирном доме при формировании их общей воли и сама по себе не может расцениваться как нарушающая в обозначенном в жалобе аспекте конституционные права заявителя. Установление же и исследование фактических обстоятельств конкретного дела, а также оценка правильности применения судами оспариваемой нормы с учетом этих обстоятельств, на чем, по существу, 3 настаивает В.Н.Гаркушев,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Гаркушева Вадима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