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Житковой Ольги Николаевны на нарушение ее конституционных прав пунктом 20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О.Н.Житковой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О.Н.Житкова оспаривает конституционность пункта 20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лицам,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городах, сельской местности и поселках городского типа либо только в городах, независимо от их возраста с применением положений части 11 данной статьи. 2 По мнению заявительницы, оспариваемая норма не соответствует статье 39 (части 1 и 2) Конституции Российской Федерации, поскольку не позволяет засчитывать в стаж, дающий право на досрочное назначение страховой пенсии по старости лицам, занимавшимся лечебной и иной деятельностью по охране здоровья населения, периоды ее осуществления в организациях, не являющихся учреждениями здравоохранения.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в Федеральном законе «О страховых пенсиях»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лечебной и иной деятельностью по охране здоровья населения в учреждениях здравоохранения (пункт 20 части 1 статьи 30).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Житковой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