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Зуева Александра Васильевича на нарушение его конституционных прав рядом норм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А.В.Зуева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А.В.Зуев оспаривает конституционность статей 308 «Пределы рассмотрения административного дела в суде апелляционной инстанции», 309 «Полномочия суда апелляционной инстанции», 311 «Судебный акт суда апелляционной инстанции», 323 «Изучение кассационных жалобы, представления судьей Верховного Суда Российской Федерации», 324 «Отказ в передаче кассационных жалобы, представления для рассмотрения в судебном заседании Верховного Суда Российской Федерации», 329 «Полномочия суда кассационной инстанции» и 330 «Кассационное определение» КАС Российской Федерации. 2 Как следует из представленных материалов, решением районного суда частично удовлетворено административное исковое заявление А.В.Зуева и признано незаконным бездействие главы муниципального образования, администрации муниципального образования в организации уборки территории поселка от снега и снежно-ледяных образований. Апелляционным определением, с которым согласились вышестоящие суды, данное решение было отменено и по делу принято новое решение, которым в удовлетворении административного искового заявления было отказано. Заявитель просит признать оспариваемые законоположения не соответствующими ряду статей Конституции Российской Федерации, поскольку полагает, что они позволяют судам при разрешении административного дела не учитывать нормативные акты, подлежащие применению при его разрешении, в частности определяющие правила благоустройства и правовой статус инвалидов.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законоположения определяют пределы рассмотрения административного дела в суде апелляционной инстанции, полномочия судов апелляционной и кассационной инстанций и принимаемые ими акты, порядок изучения кассационной жалобы судьей Верховного Суда Российской Федерации. Данные нормы, будучи направленными на обеспечение принятия судом законного и обоснованного решения, не предполагают произвольного применения и необоснованного отказа в удовлетворении требований административных исковых заявлений граждан. Поэтому сами по себе они не могут рассматриваться как нарушающие конституционные права А.В.Зуева в указанном в жалобе аспекте. Доводы, приведенные заявителем в обоснование своей позиции, свидетельствуют о том, что нарушение своих прав он связывает не с содержанием оспариваемых норм, а с принятыми по его делу судебными актами, с которыми он фактически выражает несогласие. Тем самым 3 А.В.Зуев, по существу, ставит перед Конституционным Судом Российской Федерации вопрос об обоснованности правоприменительных актов, разрешение которого требует установления и исследования фактических обстоятельств дела и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Зуева Александра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