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Павленко Виктора Ивановича на нарушение его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В.И.Павленко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В.И.Павленко, которому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этого суда было отказано, оспаривает конституционность статей 7 «Единоличное и коллегиальное рассмотрение гражданских дел», 15 «Порядок разрешения вопросов судом в коллегиальном составе», 3909 «Определение судьи об отказе в передаче кассационных жалобы, представления для рассмотрения в судебном заседании суда кассационной инстанции», 3914 «Возвращение надзорных жалобы, представления без рассмотрения по 2 существу» и 3917 «Определение об отказе в передаче надзорных жалобы, представления для рассмотрения в судебном заседании Президиума Верховного Суда Российской Федерации» ГПК Российской Федерации. По мнению В.И.Павленко, названные нормы, а также иные не поименованные им положения Гражданского процессуального кодекса Российской Федерации, примененные в определении судьи Верховного Суда Российской Федерации, не соответствуют статьям 2, 15–19, 45–47, 55, 56, 120, 123, 126 (часть 3) и 128 Конституции Российской Федерации. Кроме того, заявитель ставит ряд вопросов, не связанных с проверкой конституционности нормативного акта.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Павленко Виктора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