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Матея Максима Борисовича на нарушение его конституционных прав частью 1 статьи 25.6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М.Б.Матея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М.Б.Матей оспаривает конституционность части 1 статьи 25.6 «Свидетель» КоАП Российской Федерации. Как следует из представленных материалов, постановлением мирового судьи, оставленным без изменения вышестоящими судами, М.Б.Матей был привлечен к административной ответственности за управление транспортным средством в состоянии опьянения (часть 1 статьи 12.8 КоАП Российской Федерации). Заявитель просит признать оспариваемое законоположение не соответствующим статьям 46 и 49 Конституции Российской Федерации, как позволяющее привлекать гражданина к административной ответственности 2 только на основании показаний должностных лиц, допрошенных в качестве свидетелей (иные доказательства, по мнению М.Б.Матея, были получены с нарушением закона).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Матея Максима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