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Фоменко Игоря Геннадьевича на нарушение его конституционных прав частью 1 статьи 183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И.Г.Фоменко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судами апелляционной и кассационной инстанций, удовлетворено заявление гражданина И.Г.Фоменко об индексации присужденных решением суда денежных сумм, выраженных в евро и подлежащих уплате в рублях по курсу Центрального банка Российской Федерации на дату фактического платежа. Данные судебные акты были отменены определением Судебной коллегии по экономическим спорам Верховного Суда Российской Федерации и в удовлетворении указанного заявления отказано в связи с отсутствием у нижестоящих судов законных оснований для такой индексации. В связи с этим И.Г.Фоменко полагает, что часть 1 статьи 183 «Индексация присужденных денежных сумм» АПК Российской Федерации 2 нарушает статью 46 (часть 1) Конституции Российской Федерации, поскольку по смыслу, придаваемому ей правоприменительной практикой, допускает отказ в индексации судом денежной суммы, присужденной в иностранной валюте.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Фоменко Игоря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