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Базанова Александра Сергеевича на нарушение его конституционных прав положениями Жилищного кодекса Российской Федерации и Федерального закона «О государственной информационной системе жилищно-коммунального хозяйства»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А.С.Базанова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А.С.Базанов оспаривает конституционность части 101 статьи 161 «Выбор способа управления многоквартирным домом. Общие требования к деятельности по управлению многоквартирным домом» Жилищного кодекса Российской Федерации, а также части 1 статьи 6 «Виды информации, размещаемой в системе» и части 18 статьи 7 «Права и обязанности участников информационного взаимодействия» Федерального закона от 21 июля 2014 года № 209-ФЗ «О государственной информационной системе жилищно-коммунального хозяйства». 2 Как следует из представленных материалов, А.С.Базанов является собственником квартиры в многоквартирном доме, находящемся под управлением управляющей организации. Заявитель обратился в ее адрес с требованием о предоставлении для ознакомления оригиналов ряда документов и их заверенных копий, на что ему было указано, что информация размещена в сети «Интернет». Решением суда общей юрисдикции, с которым согласились суды вышестоящих инстанций, А.С.Базанову отказано в иске о возложении на управляющую организацию обязанности исполнить его требование. Суды учли, что ответчиком исполнена обязанность по размещению и раскрытию информации в сети «Интернет», эта информация является общедоступной, а также отметили, что истец не указал, какие его права и законные интересы нарушены ответчиком. По мнению заявителя, оспариваемые законоположения противоречат статьям 24 (часть 2), 29 (часть 4) и 55 (части 2 и 3) Конституции Российской Федерации в той мере, в какой препятствуют гражданам в ознакомлении с подлинными документами и в получении их надлежаще заверенных копий.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закрепляющие гарантии доступа собственников помещений в многоквартирном доме к информации об управляющей организации и об осуществляемой ею деятельности, направлены на защиту прав таких лиц, соблюдая при этом баланс интересов всех участников жилищных правоотношений, и сами по себе не могут рассматриваться в качестве нарушающих конституционные права заявителя, в деле с участием которого суды исходили и из иных оснований для отказа в иске. Установление же того, подлежали ли испрашиваемые А.С.Базановым документы предоставлению по его заявлению и соответствовал ли избранный им способ их получения требованиям законодательства, к компетенции Конституционного Суда Российской Федерации, закрепленной 3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Базанова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