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1990-О/2025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Бежаняна Ваграма Вагановича на нарушение его конституционных прав пунктом 4 статьи 252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В.В.Бежаняна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В.В.Бежанян оспаривает конституционность пункта 4 статьи 252 «Раздел имущества, находящегося в долевой собственности, и выдел из него доли» ГК Российской Федерации. Из представленных материалов следует, что при разделе общего имущества супругов, брак которых расторгнут, решением суда общей юрисдикции, оставленным без изменения определением суда апелляционной инстанции, бывшей супруге В.В.Бежаняна передано жилое помещение, заявителю – иное имущество с выплатой денежной компенсации. Суд первой инстанции подчеркнул, что совместное проживание сторон невозможно. Кроме того, суд апелляционной инстанции отметил, что В.В.Бежаняну принадлежит 2 на праве собственности жилое помещение в иностранном государстве.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2, 6 (часть 2), 17 (части 1 и 2), 18, 19 (часть 1), 35, 40, 46 (часть 1) и 55 Конституции Российской Федерации, поскольку по смыслу, придаваемому ему правоприменительной практикой в системе действующего правового регулирования, оно позволяет в случае раздела общего имущества супругов принудительно выплачивать денежную компенсацию одному из супругов при передаче единственного для него жилого помещения другому супругу.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Бежаняна Ваграма Вагановича,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