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Торговый дом «МРК-Инжиниринг» на нарушение его конституционных прав пунктом 2 статьи 167, статьей 1731 и пунктом 2 статьи 174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Торговый дом «МРК-Инжиниринг»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Торговый дом «МРК- Инжиниринг» (далее также – общество) оспаривает конституционность пункта 2 статьи 167 «Общие положения о последствиях недействительности сделки», статьи 1731 «Недействительность сделки, совершенной без необходимого в силу закона согласия третьего лица, органа юридического лица или государственного органа либо органа местного самоуправления» и пункта 2 статьи 174 «Последствия нарушения представителем или органом юридического лица условий осуществления полномочий либо интересов 2 представляемого или интересов юридического лица» ГК Российской Федерации. Как следует из представленных материалов, решением арбитражного суда, оставленным без изменения постановлением суда апелляционной инстанции, иск к заявителю о признании недействительным агентского договора по оказанию юридических и консультационных услуг и приложений к нему удовлетворен; применены последствия недействительности сделки – на общество (исполнителя по данному договору) возложена обязанность возвратить денежные средства; в удовлетворении встречного требования общества о взыскании задолженности по договору отказано.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отказано, с чем согласился заместитель Председателя данного суда. По мнению заявителя, оспариваемые положения не соответствуют Конституции Российской Федерации, ее статьям 19 (часть 1), 46 (часть 1) и 123 (часть 3), поскольку они по смыслу, придаваемому им правоприменительной практикой, позволяют суду расширительно толковать и применять их по своему усмотрению – при признании недействительной оспоримой сделки – в интересах одной из сторон, не учитывать пропуск срока исковой давности по требованию о признании оспоримой сделки недействительной; отступать от принципов равенства сторон перед законом и судом, состязательности и равноправия; ограничивать одну из сторон в праве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обществом доводы, в том числе о ненадлежащем рассмотрении встречного искового заявления, наличии арифметической ошибки, недопустимости принятия в качестве доказательства заключения эксперта, а также применении судами норм об исковой давности, 3 свидетельствуют о том, что, обращаясь с жалобой на нарушение его конституционных прав, по существу, общество предлагает Конституционному Суду Российской Федерации оценить выводы судов, а также правильность выбора и применения ими правовых норм. Между тем разрешение такого рода вопросов, непосредственно связанных с установлением и исследованием фактических обстоятельств конкретного дела, оценкой доказательств,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Торговый дом «МРК-Инжиниринг»,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