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Переваловой Елены Геннадьевны на нарушение ее конституционных прав статьей 247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Е.Г.Переваловой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Е.Г.Перевалова оспаривает конституционность статьи 247 «Владение и пользование имуществом, находящимся в долевой собственности» ГК Российской Федерации. Из представленных материалов следует, что заявительнице и гражданке С. на праве общей долевой собственности принадлежало жилое помещение. Решением суда общей юрисдикции, с которым согласились суды вышестоящих инстанций, заявительнице отказано во взыскании с С., проживающей в этой квартире, компенсации за пользование частью общего имущества, соразмерной 2 доле Е.Г.Переваловой, а также понесенных заявительницей расходов на оплату коммунальных услуг. По мнению Е.Г.Переваловой, оспариваемая норма противоречит статьям 17 (часть 3), 19 (часть 1), 35, 46 (часть 1) и 123 (часть 3) Конституции Российской Федерации в той мере, в какой по смыслу, придаваемому ей правоприменительной практикой, она препятствует свободному использованию сособственником части общего имущества, приобретенного им по наследству, исключительно по причине отсутствия согласия другого участника долевой собственности на это.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Переваловой Елены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