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«Дан-Трейд» на нарушение его конституционных прав частью 32 статьи 19 Федерального закона «О рекламе»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 «Дан-Трейд»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«Дан-Трейд» (далее также – ООО «Дан-Трейд») оспаривает конституционность части 32 статьи 19 Федерального закона от 13 марта 2006 года № 38-ФЗ «О рекламе», согласно которой распространение звуковой рекламы с использованием звукотехнического оборудования, монтируемого и располагаемого на внешних стенах, крышах и иных конструктивных элементах зданий, строений, сооружений, не допускается. Из представленных материалов следует, что вступившим в законную силу решением арбитражного суда отказано в удовлетворении требования 2 ООО «Дан-Трейд» о признании незаконным решения антимонопольного органа, которым заявителю вменено нарушение части 32 статьи 19 Федерального закона «О рекламе». Как установили суды, заявителем размещались рекламные конструкции на опорах наружного освещения, располагающихся рядом с остановочными пунктами движения общественного транспорта. По мнению ООО «Дан-Трейд», оспариваемое законоположение не соответствует статьям 2, 8, 34 (часть 1) и 35 (часть 1) Конституции Российской Федерации, поскольку исключает распространение звуковой рекламы с использованием звукотехнического оборудования, размещаемого на остановочных пунктах движения общественного транспорта, которые, как полагает заявитель, не являются зданиями, строениями или сооружениями.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 Федерального закона «О рекламе» устанавливает правила размещения наружной рекламы и установки рекламных конструкций. Данные правила, включая запрет распространения звуковой рекламы с использованием звукотехнического оборудования, монтируемого и располагаемого на объектах отдельных видов (часть 32 указанной статьи), обеспечивают достижение закрепленных в статье 1 Федерального закона «О рекламе» целей регулирования в соответствующей сфере. Следовательно, оспариваемое законоположение не может расцениваться в качестве нарушающего в указанном в жалобе аспекте конституционные права ООО «Дан-Трейд», поскольку представленные материалы не подтверждают, что вмененное ему нарушение было связано с размещением рекламных конструкций на остановочных пунктах движения общественного транспорта. Проверка же правильности судебных актов, в том числе выводов судов относительно фактических характеристик конкретных объектов, на которых размещены рекламные конструкции, не входит в компетенцию Конституционного Суда Российской Федерации (статья 125 Конституции 3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«Дан-Трейд»,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