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Чумакова Сергея Юрьевича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С.Ю.Чумакова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С.Ю.Чумаков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апелляционным определением суда апелляционной инстанции, с которым согласились суды кассационной инстанции, С.Ю.Чумакову отказано в удовлетворении заявления о пересмотре вынесенного по его делу и вступившего в законную силу апелляционного определения этого же суда по вновь открывшимся обстоятельствам. 2 В связи с этим заявитель утверждает, что оспариваемая норма противоречит статьям 17 (часть 3), 18 и 46 (часть 1)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не предоставляет лицу права на пересмотр вступившего в законную силу решения суда по иску о взыскании с него денежных средств после того, как в предусмотренном законом порядке вступившим в законную силу приговором суда было установлено, что эти денежные средства в действительности являлись предметом хищения, совершенного в отношении истца (кредитора) иным лицом, не привлеченным к участию в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Чумакова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