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Романа Васильевича на нарушение его конституционных прав статьей 313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статьи 313 «Обжалование определений суда первой инстанции» КАС Российской Федерации. Как следует из представленных материалов, судья Верховного Суда Российской Федерации своим определением отказал в удовлетворении ходатайства Р.В.Марченко об освобождении от уплаты государственной пошлины за подачу кассационной жалобы и возвратил заявителю его кассационную жалобу. Жалоба Р.В.Марченко на данное определение была возвращена с указанием на то, что Кодексом административного 2 судопроизводства Российской Федерации обжалование таких определений не предусмотрено. По мнению заявителя, оспариваемое законоположение не соответствует статьям 45 и 46 Конституции Российской Федерации, поскольку не позволяет обжаловать определение судьи Верховного Суда Российской Федерации о возврате кассационной жалобы и тем самым лишает доступа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Романа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