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Куркина Виталия Игоревича на нарушение его конституционных прав частью 1 статьи 12.26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В.И.Куркина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В.И.Куркин оспаривает конституционность части 1 статьи 12.26 «Невыполнение водителем транспортного средства требования о прохождении медицинского освидетельствования на состояние опьянения» КоАП Российской Федерации. Как следует из представленных материалов, постановлением мирового судьи, оставленным без изменения судами вышестоящих инстанций, заявитель был признан виновным в совершении административного правонарушения, предусмотренного частью 1 статьи 12.26 КоАП Российской Федерации. Суды, отклоняя довод заявителя о нарушении территориальной подсудности при рассмотрении его дела, указали, ссылаясь в том числе на видеозапись с места 2 совершения административного правонарушения, что оно было совершено в городе Москве, а не в Московской области. Заявитель, выражая несогласие с судебными решениями, полагает, что было нарушено его право на рассмотрение дела в том суде и тем судьей, к подсудности которых оно отнесено законом. В связи с этим он просит признать оспариваемую норму противоречащей статье 47 (часть 1)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Куркина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