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Рудакова Михаила Юрьевича на нарушение его конституционных прав частью третьей статьи 15 Уголовно-исполнительного кодекса Российской Федерации и статьей 21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М.Ю.Рудакова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М.Ю.Рудаков, которому возвращено без рассмотрения обращение, направленное в суд, в связи с нарушением порядка его подачи гражданином, содержащимся под стражей, просит признать не соответствующими статье 33 Конституции Российской Федерации часть третью статьи 15 «Обращения осужденных и порядок их рассмотрения» УИК Российской Федерации и статью 21 «Направление предложений, заявлений и жалоб» Федерального закона от 15 июля 1995 года № 103-ФЗ «О содержании под стражей подозреваемых и обвиняемых в совершении преступлений». По 2 мнению заявителя, оспариваемые нормы, предусматривая, что обращения подозреваемых и обвиняемых, а также осужденных, адресованные в органы государственной власти, направляются через администрацию места содержания под стражей, учреждений и органов, исполняющих наказания, лишают его права обращаться лично, а также направлять соответствующие обращения в государственные органы.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частью первой статьи 21 Федерального закона «О содержании под стражей подозреваемых и обвиняемых в совершении преступлений» и частью третьей статьи 15 УИК Российской Федерации правило – возможность направлять обращения в органы государственной власти только через администрацию учреждений и органов, исполняющих наказания, – имеет удостоверительный характер. При этом в силу положений части второй статьи 21 Федерального закона «О содержании под стражей подозреваемых и обвиняемых в совершении преступлений» предложения, заявления и жалобы подозреваемых и обвиняемых, адресованные, в частности, прокурору, в суд или иные органы государственной власти, которые имеют право контроля за местами содержания под стражей подозреваемых и обвиняемых, цензуре не подлежат и не позднее следующего за днем подачи предложения, заявления или жалобы рабочего дня направляются адресату в запечатанном пакете. Аналогичные предписания закреплены и в части четвертой статьи 15 УИК Российской Федерации, согласно которой соответствующие предложения, заявления, ходатайства и жалобы осужденных цензуре не подлежат и не позднее одного рабочего дня передаются операторам связи для их доставки по принадлежности. Таким образом, оспариваемые законоположения не могут расцениваться как нарушающие права М.Ю.Рудакова в указанном в жалобе аспекте. 3 Кроме того, вопреки требованиям статей 96 и 97 Федерального конституционного закона «О Конституционном Суде Российской Федерации», заявителем не представлено судебных актов, подтверждающих применение судами в его конкретном деле положений части третьей статьи 15 УИК Российской Федерации. Следовательно,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Рудакова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