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Чеснокова Сергея Ивановича на нарушение его конституционных прав статьями 195, 196 и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С.И.Чеснокова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С.И.Чесноков, которому решением арбитражного суда отказано в удовлетворении исковых требований о взыскании убытков, оспаривает конституционность следующих положений Гражданского кодекса Российской Федерации: статьи 195, признающей исковой давностью срок для защиты права по иску лица, право которого нарушено; статьи 196, а фактически – пункта 1 данной статьи, предусматривающего, что общий срок исковой давности составляет три года со дня, определяемого в соответствии со статьей 200 указанного Кодекса; 2 пункта 1 статьи 200, согласно которому,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По мнению С.И.Чеснокова, оспариваемые положения не соответствуют статьям 46 (часть 1) и 123 (часть 3) Конституции Российской Федерации в той мере, в какой они по смыслу, придаваемому им сложившейся правоприменительной практикой, позволяют определить начало течения срока исковой давности датой деликта в спорах, в которых дата деликта и дата наступления негативных последствий деликта не совпадают.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Чеснокова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