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1087-О/2025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Гаврилюк Елены Александровны на нарушение ее конституционных прав абзацем вторым пункта 1 статьи 1651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гражданки Е.А.Гаврилюк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Е.А.Гаврилюк, которой отказано в восстановлении пропущенного срока подачи апелляционной жалобы ввиду недоказанности уважительных причин его пропуска, в том числе с учетом того что копия обжалуемого решения суда направлялась по адресу ее регистрации по месту жительства и по иному адресу, но была возвращена в суд организацией почтовой связи с отметкой об истечении срока хранения, оспаривает конституционность абзаца второго пункта 1 статьи 1651 «Юридически значимые сообщения» ГК Российской Федерации. По мнению заявительницы, оспариваемое положение противоречит статье 46 (часть 1) Конституции Российской Федерации, поскольку оно по 2 смыслу, придаваемому ему правоприменительной практикой, позволяет признавать судебные извещения, направленные лицу, участвующему в деле, но не полученные им, доставленными и, соответственно, признавать это лицо извещенным надлежащим образом о вынесенном судом решении.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Абзац второй пункта 1 статьи 1651 ГК Российской Федерации, признающий юридически значимое сообщение доставленным в случаях, если оно поступило лицу, которому оно направлено (адресату), но по обстоятельствам, зависящим от этого лица, не было ему вручено или адресат не ознакомился с ним, подлежит применению также к судебным извещениям и вызовам, если гражданским процессуальным или арбитражным процессуальным законодательством не предусмотрено иное (пункт 68 постановления Пленума Верховного Суда Российской Федерации от 23 июня 2015 года № 25 «О применении судами некоторых положений раздела I части первой Гражданского кодекса Российской Федерации»). Такое правовое регулирование имеет целью пресечение злоупотреблений участников гражданского судопроизводства, связанных с намеренным неполучением судебных извещений и затягиванием рассмотрения дела судом, и не нарушает конституционных прав Е.А.Гаврилюк в указанном ею аспекте. Установление же и исследование фактических обстоятельств конкретного дела, оценка доказательств, послуживших основаниями для применения в нем тех или иных норм права, не входят в полномочия Конституционного Суда Российской Федерации (статья 125 Конституции Российской Федерации и статья 3 Федерального конституционного закона «О Конституционном Суде Российской Федерации»).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Гаврилюк Елены Александровны,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