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Набиуллина Явира Явдатовича на нарушение его конституционных прав частью первой статьи 14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гражданина Я.Я.Набиуллина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Я.Я.Набиуллин оспаривает конституционность части первой статьи 14 Трудового кодекса Российской Федерации, согласно которой течение сроков, с которыми данный Кодекс связывает возникновение трудовых прав и обязанностей, начинается с календарной даты, которой определено начало возникновения указанных прав и обязанностей. По мнению заявителя, оспариваемая норма не соответствует статье 37 Конституции Российской Федерации, поскольку позволяет ограничивать срок обращения в суд за разрешением индивидуального трудового спора о 2 невыплате или неполной выплате заработной платы и других выплат, причитающихся работнику, одним годом.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Набиуллина Явира Явдатовича,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